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873410" w14:paraId="3923F473" w14:textId="77777777" w:rsidTr="00607C04">
        <w:trPr>
          <w:trHeight w:val="338"/>
        </w:trPr>
        <w:tc>
          <w:tcPr>
            <w:tcW w:w="1560" w:type="dxa"/>
            <w:vAlign w:val="center"/>
          </w:tcPr>
          <w:p w14:paraId="1E483D72" w14:textId="77777777" w:rsidR="00873410" w:rsidRPr="0065027A" w:rsidRDefault="00873410" w:rsidP="00607C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bookmarkStart w:id="0" w:name="_Hlk60063564"/>
            <w:r w:rsidRPr="0065027A">
              <w:rPr>
                <w:rFonts w:ascii="Times New Roman" w:hAnsi="Times New Roman" w:cs="Times New Roman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049F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240292C" w14:textId="77777777" w:rsidR="00873410" w:rsidRPr="0065027A" w:rsidRDefault="00873410" w:rsidP="00607C04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358D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08AB67C0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2B7EF2B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55F03DC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73410" w14:paraId="23C394F4" w14:textId="77777777" w:rsidTr="00607C04">
        <w:trPr>
          <w:trHeight w:val="277"/>
        </w:trPr>
        <w:tc>
          <w:tcPr>
            <w:tcW w:w="1560" w:type="dxa"/>
            <w:vAlign w:val="center"/>
          </w:tcPr>
          <w:p w14:paraId="3365BE57" w14:textId="77777777" w:rsidR="00873410" w:rsidRPr="0065027A" w:rsidRDefault="00873410" w:rsidP="00607C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3CBEC" w14:textId="0DDEA40D" w:rsidR="00873410" w:rsidRPr="005241C8" w:rsidRDefault="005241C8" w:rsidP="00607C0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="0065027A" w:rsidRPr="005241C8">
              <w:rPr>
                <w:rFonts w:ascii="Times New Roman" w:hAnsi="Times New Roman" w:cs="Times New Roman"/>
                <w:szCs w:val="20"/>
              </w:rPr>
              <w:t>.08.2025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0F2FF0B" w14:textId="77777777" w:rsidR="00873410" w:rsidRPr="0065027A" w:rsidRDefault="00873410" w:rsidP="00607C04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F0877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8646AEF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756E2" w14:textId="1837069D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  <w:r w:rsidRPr="0065027A">
              <w:rPr>
                <w:rFonts w:ascii="Times New Roman" w:hAnsi="Times New Roman" w:cs="Times New Roman"/>
                <w:szCs w:val="20"/>
              </w:rPr>
              <w:t>2-25-8558</w:t>
            </w:r>
          </w:p>
        </w:tc>
        <w:tc>
          <w:tcPr>
            <w:tcW w:w="1188" w:type="dxa"/>
            <w:shd w:val="clear" w:color="auto" w:fill="auto"/>
          </w:tcPr>
          <w:p w14:paraId="7A7CE0A8" w14:textId="77777777" w:rsidR="00873410" w:rsidRPr="0065027A" w:rsidRDefault="00873410" w:rsidP="00607C04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</w:tbl>
    <w:p w14:paraId="21361B4D" w14:textId="77777777" w:rsidR="00873410" w:rsidRPr="00EE3824" w:rsidRDefault="00873410" w:rsidP="00873410">
      <w:pPr>
        <w:rPr>
          <w:rFonts w:cs="Arial"/>
          <w:szCs w:val="20"/>
        </w:rPr>
      </w:pPr>
    </w:p>
    <w:p w14:paraId="0574017B" w14:textId="77777777" w:rsidR="00577804" w:rsidRDefault="00577804" w:rsidP="00A35356">
      <w:pPr>
        <w:jc w:val="right"/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0BE97733" w14:textId="77777777" w:rsidR="00A35356" w:rsidRDefault="00A35356" w:rsidP="00A35356">
      <w:pPr>
        <w:tabs>
          <w:tab w:val="left" w:pos="7320"/>
        </w:tabs>
        <w:jc w:val="both"/>
        <w:rPr>
          <w:rFonts w:ascii="Times New Roman" w:hAnsi="Times New Roman" w:cs="Times New Roman"/>
          <w:b/>
          <w:sz w:val="24"/>
        </w:rPr>
      </w:pPr>
    </w:p>
    <w:p w14:paraId="069EA4A3" w14:textId="77777777" w:rsidR="00873410" w:rsidRPr="00873410" w:rsidRDefault="00873410" w:rsidP="00873410">
      <w:pPr>
        <w:jc w:val="both"/>
        <w:rPr>
          <w:rFonts w:ascii="Times New Roman" w:hAnsi="Times New Roman"/>
          <w:b/>
          <w:sz w:val="24"/>
          <w:lang w:val="en-US"/>
        </w:rPr>
      </w:pPr>
      <w:r w:rsidRPr="00873410">
        <w:rPr>
          <w:rFonts w:ascii="Times New Roman" w:hAnsi="Times New Roman"/>
          <w:b/>
          <w:sz w:val="24"/>
          <w:lang w:val="en-US"/>
        </w:rPr>
        <w:t>Konkurentsiamet</w:t>
      </w:r>
    </w:p>
    <w:p w14:paraId="0F1EC242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  <w:lang w:val="en-US"/>
        </w:rPr>
      </w:pPr>
      <w:r w:rsidRPr="00873410">
        <w:rPr>
          <w:rFonts w:ascii="Times New Roman" w:hAnsi="Times New Roman"/>
          <w:sz w:val="24"/>
          <w:lang w:val="en-US"/>
        </w:rPr>
        <w:t>Tatari 39, Tallinn 10134</w:t>
      </w:r>
    </w:p>
    <w:p w14:paraId="2A0F0491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  <w:lang w:val="en-US"/>
        </w:rPr>
      </w:pPr>
      <w:hyperlink r:id="rId8" w:history="1">
        <w:r w:rsidRPr="00873410">
          <w:rPr>
            <w:rStyle w:val="Hperlink"/>
            <w:rFonts w:ascii="Times New Roman" w:hAnsi="Times New Roman"/>
            <w:sz w:val="24"/>
            <w:lang w:val="en-US"/>
          </w:rPr>
          <w:t>info@konkurentsiamet.ee</w:t>
        </w:r>
      </w:hyperlink>
    </w:p>
    <w:p w14:paraId="1D2EF70F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  <w:lang w:val="en-US"/>
        </w:rPr>
      </w:pPr>
    </w:p>
    <w:p w14:paraId="2DC8BFC2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  <w:lang w:val="en-US"/>
        </w:rPr>
      </w:pPr>
    </w:p>
    <w:p w14:paraId="09714FFE" w14:textId="42DB9F1C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Harju Maakohtu menetluses on tsiviilasi nr 2-25-</w:t>
      </w:r>
      <w:r>
        <w:rPr>
          <w:rFonts w:ascii="Times New Roman" w:hAnsi="Times New Roman"/>
          <w:sz w:val="24"/>
        </w:rPr>
        <w:t>8558</w:t>
      </w:r>
      <w:r w:rsidRPr="00873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Tükeldaja </w:t>
      </w:r>
      <w:r w:rsidRPr="00873410">
        <w:rPr>
          <w:rFonts w:ascii="Times New Roman" w:hAnsi="Times New Roman"/>
          <w:sz w:val="24"/>
        </w:rPr>
        <w:t>OÜ (registrikood: 12272117</w:t>
      </w:r>
      <w:r w:rsidRPr="005241C8">
        <w:rPr>
          <w:rFonts w:ascii="Times New Roman" w:hAnsi="Times New Roman"/>
          <w:sz w:val="24"/>
          <w:lang w:val="fi-FI"/>
        </w:rPr>
        <w:t>)</w:t>
      </w:r>
      <w:r w:rsidRPr="00873410">
        <w:rPr>
          <w:rFonts w:ascii="Times New Roman" w:hAnsi="Times New Roman"/>
          <w:sz w:val="24"/>
        </w:rPr>
        <w:t xml:space="preserve"> pankrotiavaldus.</w:t>
      </w:r>
    </w:p>
    <w:p w14:paraId="5B1686EF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</w:p>
    <w:p w14:paraId="0A43597E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Vastavalt pankrotiseaduse § 30 lg-le 1 kui võlgnikul ei jätku vara pankrotimenetluse kulude katteks, määrab kohus menetluse raugemise vältimiseks pankrotimenetluse kulude katteks deposiidina selleks ettenähtud kontole makstava summa suuruse ja selle maksmise tähtaja. Sama paragrahvi lg 5 sätestab, et kui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54CCE202" w14:textId="77777777" w:rsidR="00873410" w:rsidRPr="005241C8" w:rsidRDefault="00873410" w:rsidP="00873410">
      <w:pPr>
        <w:jc w:val="both"/>
        <w:rPr>
          <w:rFonts w:ascii="Times New Roman" w:hAnsi="Times New Roman"/>
          <w:sz w:val="24"/>
          <w:lang w:val="fi-FI"/>
        </w:rPr>
      </w:pPr>
    </w:p>
    <w:p w14:paraId="53073926" w14:textId="5A3A182D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 xml:space="preserve">Kohus määras </w:t>
      </w:r>
      <w:r w:rsidR="0065027A">
        <w:rPr>
          <w:rFonts w:ascii="Times New Roman" w:hAnsi="Times New Roman"/>
          <w:sz w:val="24"/>
        </w:rPr>
        <w:t xml:space="preserve">11.07.2025 </w:t>
      </w:r>
      <w:r w:rsidRPr="00873410">
        <w:rPr>
          <w:rFonts w:ascii="Times New Roman" w:hAnsi="Times New Roman"/>
          <w:sz w:val="24"/>
        </w:rPr>
        <w:t xml:space="preserve">määrusega võlgniku pankrotiavalduse menetluse raugemise vältimiseks pankrotimenetluse kulude katteks kohtu deposiiti makstava summa suuruseks </w:t>
      </w:r>
      <w:r w:rsidR="0065027A">
        <w:rPr>
          <w:rFonts w:ascii="Times New Roman" w:hAnsi="Times New Roman"/>
          <w:sz w:val="24"/>
        </w:rPr>
        <w:t>30</w:t>
      </w:r>
      <w:r w:rsidRPr="00873410">
        <w:rPr>
          <w:rFonts w:ascii="Times New Roman" w:hAnsi="Times New Roman"/>
          <w:sz w:val="24"/>
        </w:rPr>
        <w:t>00 eurot</w:t>
      </w:r>
      <w:r w:rsidRPr="005241C8">
        <w:rPr>
          <w:rFonts w:ascii="Times New Roman" w:hAnsi="Times New Roman"/>
          <w:sz w:val="24"/>
          <w:lang w:val="fi-FI"/>
        </w:rPr>
        <w:t xml:space="preserve"> ja tegi </w:t>
      </w:r>
      <w:r w:rsidRPr="00873410">
        <w:rPr>
          <w:rFonts w:ascii="Times New Roman" w:hAnsi="Times New Roman"/>
          <w:sz w:val="24"/>
        </w:rPr>
        <w:t>ettepaneku T</w:t>
      </w:r>
      <w:r w:rsidR="0065027A">
        <w:rPr>
          <w:rFonts w:ascii="Times New Roman" w:hAnsi="Times New Roman"/>
          <w:sz w:val="24"/>
        </w:rPr>
        <w:t>ükeldaja</w:t>
      </w:r>
      <w:r w:rsidRPr="00873410">
        <w:rPr>
          <w:rFonts w:ascii="Times New Roman" w:hAnsi="Times New Roman"/>
          <w:sz w:val="24"/>
        </w:rPr>
        <w:t xml:space="preserve"> OÜ pankrotimenetlusest huvitatud isikutele (eelkõige võlausaldajatele) tasuda hiljemalt 1</w:t>
      </w:r>
      <w:r w:rsidR="0065027A">
        <w:rPr>
          <w:rFonts w:ascii="Times New Roman" w:hAnsi="Times New Roman"/>
          <w:sz w:val="24"/>
        </w:rPr>
        <w:t>8</w:t>
      </w:r>
      <w:r w:rsidRPr="00873410">
        <w:rPr>
          <w:rFonts w:ascii="Times New Roman" w:hAnsi="Times New Roman"/>
          <w:sz w:val="24"/>
        </w:rPr>
        <w:t xml:space="preserve">.07.2025 pankrotimenetluse kulude deposiit Rahandusministeeriumi kontole. Vastav teade avaldati väljaandes Ametlikud Teadaanded </w:t>
      </w:r>
      <w:r w:rsidR="0065027A">
        <w:rPr>
          <w:rFonts w:ascii="Times New Roman" w:hAnsi="Times New Roman"/>
          <w:sz w:val="24"/>
        </w:rPr>
        <w:t>11</w:t>
      </w:r>
      <w:r w:rsidRPr="00873410">
        <w:rPr>
          <w:rFonts w:ascii="Times New Roman" w:hAnsi="Times New Roman"/>
          <w:sz w:val="24"/>
        </w:rPr>
        <w:t xml:space="preserve">.07.2025. Deposiiti tasutud ei ole. </w:t>
      </w:r>
    </w:p>
    <w:p w14:paraId="57283926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</w:p>
    <w:p w14:paraId="3D25588C" w14:textId="0CF12D56" w:rsid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Kohus teavitab käesolevaga pankrotiseaduse § 30 lg 5 Konkurentsiametit, et deposiiti raugemise vältimiseks tsiviilasjas nr 2-25-</w:t>
      </w:r>
      <w:r w:rsidR="0065027A">
        <w:rPr>
          <w:rFonts w:ascii="Times New Roman" w:hAnsi="Times New Roman"/>
          <w:sz w:val="24"/>
        </w:rPr>
        <w:t>8558</w:t>
      </w:r>
      <w:r w:rsidRPr="00873410">
        <w:rPr>
          <w:rFonts w:ascii="Times New Roman" w:hAnsi="Times New Roman"/>
          <w:sz w:val="24"/>
        </w:rPr>
        <w:t xml:space="preserve"> antud tähtajaks tasutud ei ole, ning teeb ettepaneku esitada avaldus pankrotimenetluse läbiviimiseks avaliku uurimisena.</w:t>
      </w:r>
    </w:p>
    <w:p w14:paraId="0180C04A" w14:textId="77777777" w:rsidR="0065027A" w:rsidRPr="00873410" w:rsidRDefault="0065027A" w:rsidP="00873410">
      <w:pPr>
        <w:jc w:val="both"/>
        <w:rPr>
          <w:rFonts w:ascii="Times New Roman" w:hAnsi="Times New Roman"/>
          <w:sz w:val="24"/>
        </w:rPr>
      </w:pPr>
    </w:p>
    <w:p w14:paraId="5CC2C25B" w14:textId="77777777" w:rsidR="00873410" w:rsidRPr="00873410" w:rsidRDefault="00873410" w:rsidP="00873410">
      <w:pPr>
        <w:jc w:val="both"/>
        <w:rPr>
          <w:rFonts w:ascii="Times New Roman" w:hAnsi="Times New Roman"/>
          <w:b/>
          <w:bCs/>
          <w:sz w:val="24"/>
        </w:rPr>
      </w:pPr>
      <w:r w:rsidRPr="00873410">
        <w:rPr>
          <w:rFonts w:ascii="Times New Roman" w:hAnsi="Times New Roman"/>
          <w:b/>
          <w:bCs/>
          <w:sz w:val="24"/>
        </w:rPr>
        <w:t>Kohus annab käesolevaga Konkurentsiametile tähtaja avaliku uurimismenetluse alustamise otsustamiseks ja kohtu teavitamiseks 21 päeva alates käesoleva kohtukirja kättesaamisest.</w:t>
      </w:r>
    </w:p>
    <w:p w14:paraId="427F5781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</w:p>
    <w:p w14:paraId="2A4CD71E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Lugupidamisega</w:t>
      </w:r>
    </w:p>
    <w:p w14:paraId="60E558E9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</w:p>
    <w:p w14:paraId="5990D9A1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 xml:space="preserve">/digitaalselt allkirjastatud/ </w:t>
      </w:r>
    </w:p>
    <w:p w14:paraId="24F9E06A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</w:p>
    <w:p w14:paraId="2122FDB4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Kai Härmand</w:t>
      </w:r>
    </w:p>
    <w:p w14:paraId="566BA8E6" w14:textId="77777777" w:rsidR="00873410" w:rsidRPr="00873410" w:rsidRDefault="00873410" w:rsidP="00873410">
      <w:pPr>
        <w:jc w:val="both"/>
        <w:rPr>
          <w:rFonts w:ascii="Times New Roman" w:hAnsi="Times New Roman"/>
          <w:sz w:val="24"/>
        </w:rPr>
      </w:pPr>
      <w:r w:rsidRPr="00873410">
        <w:rPr>
          <w:rFonts w:ascii="Times New Roman" w:hAnsi="Times New Roman"/>
          <w:sz w:val="24"/>
        </w:rPr>
        <w:t>kohtunik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40A0" w14:textId="77777777" w:rsidR="00E0511D" w:rsidRDefault="00E0511D" w:rsidP="00DA1915">
      <w:r>
        <w:separator/>
      </w:r>
    </w:p>
  </w:endnote>
  <w:endnote w:type="continuationSeparator" w:id="0">
    <w:p w14:paraId="40A42D58" w14:textId="77777777" w:rsidR="00E0511D" w:rsidRDefault="00E0511D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B3FD" w14:textId="77777777" w:rsidR="00E0511D" w:rsidRDefault="00E0511D" w:rsidP="00DA1915">
      <w:r>
        <w:separator/>
      </w:r>
    </w:p>
  </w:footnote>
  <w:footnote w:type="continuationSeparator" w:id="0">
    <w:p w14:paraId="421838D6" w14:textId="77777777" w:rsidR="00E0511D" w:rsidRDefault="00E0511D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291CF3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539C"/>
    <w:multiLevelType w:val="multilevel"/>
    <w:tmpl w:val="B9709112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665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5DC9"/>
    <w:rsid w:val="000356FA"/>
    <w:rsid w:val="0008005B"/>
    <w:rsid w:val="00083D56"/>
    <w:rsid w:val="000861C4"/>
    <w:rsid w:val="000A11A5"/>
    <w:rsid w:val="000C41AB"/>
    <w:rsid w:val="000C71E8"/>
    <w:rsid w:val="000D3AA7"/>
    <w:rsid w:val="000D7F91"/>
    <w:rsid w:val="001444F8"/>
    <w:rsid w:val="00155A80"/>
    <w:rsid w:val="00185CFB"/>
    <w:rsid w:val="001A0D48"/>
    <w:rsid w:val="001C4756"/>
    <w:rsid w:val="001E5D84"/>
    <w:rsid w:val="001E6A5D"/>
    <w:rsid w:val="00223AAB"/>
    <w:rsid w:val="00264CC1"/>
    <w:rsid w:val="002719AB"/>
    <w:rsid w:val="002B2F12"/>
    <w:rsid w:val="00303474"/>
    <w:rsid w:val="00303A23"/>
    <w:rsid w:val="00315C1C"/>
    <w:rsid w:val="00317CBA"/>
    <w:rsid w:val="00331CA0"/>
    <w:rsid w:val="00344A91"/>
    <w:rsid w:val="003D41E3"/>
    <w:rsid w:val="003E4627"/>
    <w:rsid w:val="003F0460"/>
    <w:rsid w:val="003F6F57"/>
    <w:rsid w:val="00401E08"/>
    <w:rsid w:val="004244FF"/>
    <w:rsid w:val="004365BC"/>
    <w:rsid w:val="004900A5"/>
    <w:rsid w:val="004A1192"/>
    <w:rsid w:val="004A5365"/>
    <w:rsid w:val="004C3E8A"/>
    <w:rsid w:val="00504D17"/>
    <w:rsid w:val="0051481A"/>
    <w:rsid w:val="005241C8"/>
    <w:rsid w:val="0055716E"/>
    <w:rsid w:val="00577804"/>
    <w:rsid w:val="005C0319"/>
    <w:rsid w:val="00604E7F"/>
    <w:rsid w:val="00622E91"/>
    <w:rsid w:val="00625DF1"/>
    <w:rsid w:val="0063367B"/>
    <w:rsid w:val="00637CBF"/>
    <w:rsid w:val="006444D2"/>
    <w:rsid w:val="0065027A"/>
    <w:rsid w:val="006A69E8"/>
    <w:rsid w:val="006D5809"/>
    <w:rsid w:val="006D750D"/>
    <w:rsid w:val="006E3B96"/>
    <w:rsid w:val="006F02D2"/>
    <w:rsid w:val="00702F13"/>
    <w:rsid w:val="00711F6E"/>
    <w:rsid w:val="00724B53"/>
    <w:rsid w:val="00756C43"/>
    <w:rsid w:val="00791DB2"/>
    <w:rsid w:val="007B69CF"/>
    <w:rsid w:val="00811E61"/>
    <w:rsid w:val="00833F69"/>
    <w:rsid w:val="00862CB8"/>
    <w:rsid w:val="00873410"/>
    <w:rsid w:val="00873A81"/>
    <w:rsid w:val="008A5948"/>
    <w:rsid w:val="008D0156"/>
    <w:rsid w:val="008D2589"/>
    <w:rsid w:val="008D5ACC"/>
    <w:rsid w:val="008E1ED3"/>
    <w:rsid w:val="008E54E7"/>
    <w:rsid w:val="008F0FC9"/>
    <w:rsid w:val="008F6382"/>
    <w:rsid w:val="00915C63"/>
    <w:rsid w:val="009172B9"/>
    <w:rsid w:val="009344DD"/>
    <w:rsid w:val="0094633F"/>
    <w:rsid w:val="00951CBA"/>
    <w:rsid w:val="0097005A"/>
    <w:rsid w:val="00982A8A"/>
    <w:rsid w:val="009B5A17"/>
    <w:rsid w:val="009F02EB"/>
    <w:rsid w:val="00A252B8"/>
    <w:rsid w:val="00A279CA"/>
    <w:rsid w:val="00A3029D"/>
    <w:rsid w:val="00A324C8"/>
    <w:rsid w:val="00A35356"/>
    <w:rsid w:val="00A52543"/>
    <w:rsid w:val="00A65D0C"/>
    <w:rsid w:val="00AB2218"/>
    <w:rsid w:val="00AC4483"/>
    <w:rsid w:val="00AD5783"/>
    <w:rsid w:val="00B310B5"/>
    <w:rsid w:val="00B57933"/>
    <w:rsid w:val="00B85165"/>
    <w:rsid w:val="00B92C94"/>
    <w:rsid w:val="00C000D5"/>
    <w:rsid w:val="00C8651B"/>
    <w:rsid w:val="00C9177D"/>
    <w:rsid w:val="00C94E3C"/>
    <w:rsid w:val="00CB7D32"/>
    <w:rsid w:val="00CC1449"/>
    <w:rsid w:val="00CC5B66"/>
    <w:rsid w:val="00CD330A"/>
    <w:rsid w:val="00CD3546"/>
    <w:rsid w:val="00D76816"/>
    <w:rsid w:val="00D916DE"/>
    <w:rsid w:val="00D92D14"/>
    <w:rsid w:val="00DA1915"/>
    <w:rsid w:val="00DD415C"/>
    <w:rsid w:val="00DE4BBF"/>
    <w:rsid w:val="00E0511D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655B2"/>
    <w:rsid w:val="00F8430B"/>
    <w:rsid w:val="00F91D1D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7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nkurents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3245B-0C7B-4A46-AE72-61A7F8F4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Kai Härmand - HMK</cp:lastModifiedBy>
  <cp:revision>10</cp:revision>
  <cp:lastPrinted>2023-04-03T13:38:00Z</cp:lastPrinted>
  <dcterms:created xsi:type="dcterms:W3CDTF">2024-06-06T10:42:00Z</dcterms:created>
  <dcterms:modified xsi:type="dcterms:W3CDTF">2025-08-11T08:22:00Z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2025-07-29T08:56:39Z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fec9b8a3-a7f1-4fab-97d5-a22146ce4a25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